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C8D2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Times New Roman" w:hAnsi="Times New Roman" w:eastAsia="Roboto" w:cs="Times New Roman"/>
          <w:i w:val="0"/>
          <w:iCs w:val="0"/>
          <w:caps w:val="0"/>
          <w:color w:val="333333"/>
          <w:spacing w:val="0"/>
          <w:sz w:val="28"/>
          <w:szCs w:val="28"/>
          <w:shd w:val="clear" w:fill="FFFFFF"/>
          <w:lang w:val="ru-RU"/>
        </w:rPr>
      </w:pPr>
      <w:r>
        <w:rPr>
          <w:rFonts w:hint="default" w:ascii="Times New Roman" w:hAnsi="Times New Roman" w:eastAsia="Roboto" w:cs="Times New Roman"/>
          <w:i w:val="0"/>
          <w:iCs w:val="0"/>
          <w:caps w:val="0"/>
          <w:color w:val="333333"/>
          <w:spacing w:val="0"/>
          <w:sz w:val="28"/>
          <w:szCs w:val="28"/>
          <w:shd w:val="clear" w:fill="FFFFFF"/>
          <w:lang w:val="ru-RU"/>
        </w:rPr>
        <w:t>Кинешемская прокуратура разъясняет</w:t>
      </w:r>
    </w:p>
    <w:p w14:paraId="7F2332B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Times New Roman" w:hAnsi="Times New Roman" w:eastAsia="Roboto" w:cs="Times New Roman"/>
          <w:i w:val="0"/>
          <w:iCs w:val="0"/>
          <w:caps w:val="0"/>
          <w:color w:val="333333"/>
          <w:spacing w:val="0"/>
          <w:sz w:val="28"/>
          <w:szCs w:val="28"/>
          <w:shd w:val="clear" w:fill="FFFFFF"/>
          <w:lang w:val="ru-RU"/>
        </w:rPr>
      </w:pPr>
    </w:p>
    <w:p w14:paraId="02E107C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Times New Roman" w:hAnsi="Times New Roman" w:eastAsia="Roboto" w:cs="Times New Roman"/>
          <w:i w:val="0"/>
          <w:iCs w:val="0"/>
          <w:caps w:val="0"/>
          <w:color w:val="333333"/>
          <w:spacing w:val="0"/>
          <w:sz w:val="28"/>
          <w:szCs w:val="28"/>
          <w:shd w:val="clear" w:fill="FFFFFF"/>
        </w:rPr>
      </w:pPr>
      <w:r>
        <w:rPr>
          <w:rFonts w:hint="default" w:ascii="Times New Roman" w:hAnsi="Times New Roman" w:eastAsia="Roboto" w:cs="Times New Roman"/>
          <w:i w:val="0"/>
          <w:iCs w:val="0"/>
          <w:caps w:val="0"/>
          <w:color w:val="333333"/>
          <w:spacing w:val="0"/>
          <w:sz w:val="28"/>
          <w:szCs w:val="28"/>
          <w:shd w:val="clear" w:fill="FFFFFF"/>
        </w:rPr>
        <w:t>ИЗМЕНЕНИЯ В ЗАКОНОДАТЕЛЬСТВЕ О РЕКЛАМЕ, ВСТУПИВШИЕ В ЗАКОННУЮ СИЛУ С 01.09.2025</w:t>
      </w:r>
    </w:p>
    <w:p w14:paraId="50A7FD6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default" w:ascii="Times New Roman" w:hAnsi="Times New Roman" w:eastAsia="Roboto" w:cs="Times New Roman"/>
          <w:i w:val="0"/>
          <w:iCs w:val="0"/>
          <w:caps w:val="0"/>
          <w:color w:val="333333"/>
          <w:spacing w:val="0"/>
          <w:sz w:val="28"/>
          <w:szCs w:val="28"/>
          <w:shd w:val="clear" w:fill="FFFFFF"/>
          <w:lang w:val="ru-RU"/>
        </w:rPr>
      </w:pPr>
      <w:r>
        <w:rPr>
          <w:rFonts w:hint="default" w:ascii="Times New Roman" w:hAnsi="Times New Roman" w:eastAsia="Roboto" w:cs="Times New Roman"/>
          <w:i w:val="0"/>
          <w:iCs w:val="0"/>
          <w:caps w:val="0"/>
          <w:color w:val="333333"/>
          <w:spacing w:val="0"/>
          <w:sz w:val="28"/>
          <w:szCs w:val="28"/>
          <w:shd w:val="clear" w:fill="FFFFFF"/>
          <w:lang w:val="ru-RU"/>
        </w:rPr>
        <w:t xml:space="preserve"> </w:t>
      </w:r>
    </w:p>
    <w:p w14:paraId="18BBF76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420" w:firstLineChars="15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С 01.09.2025 вступили в законную силу изменения, внесенные в законодательство о рекламе Федеральным законом от 07.04.2025 № 72-ФЗ ФЗ «О рекламе».</w:t>
      </w:r>
    </w:p>
    <w:p w14:paraId="6E26CF7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firstLine="280" w:firstLineChars="10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Согласно данным изменениям, с 01.09.2025, в частности, запрещается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а также на других информационных ресурсах, доступ к которым ограничен в соответствии с законодательством Российской Федерации об информации, информационных технологиях и о защите информации.</w:t>
      </w:r>
    </w:p>
    <w:p w14:paraId="1E1CE5F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420" w:firstLineChars="15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Размещение саморекламы, равно как и ее репост на запрещенных интернет-площадках также будет являться нарушением действующего законодательства.</w:t>
      </w:r>
    </w:p>
    <w:p w14:paraId="36E388D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420" w:firstLineChars="15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Ответственность за данное нарушение предусмотрена ст. 14.3 КоАП РФ в виде штрафа в размере до 2500 рублей для физического лица, до 20 000 рублей для должностного лица и 500 000 рублей для юридического лица.</w:t>
      </w:r>
    </w:p>
    <w:p w14:paraId="5EC7FD7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Следует иметь ввиду, что репост в социальной сети может считаться рекламой, если он соответствует определению рекламы, согласно российскому законодательству о рекламе.</w:t>
      </w:r>
    </w:p>
    <w:p w14:paraId="6AB700C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Под объектом рекламирования понимается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на привлечение внимания к которым направлена реклама.</w:t>
      </w:r>
    </w:p>
    <w:p w14:paraId="7B4F7AD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420" w:firstLineChars="15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Таким образом, основной критерий - направленность на привлечение внимания к товару, услуге или бренду. Если репост содержит рекламную информацию, то есть, направлен на продвижение чего-либо, то он может быть признан рекламой, даже если сделан как обычный репост.</w:t>
      </w:r>
    </w:p>
    <w:p w14:paraId="6ECD2D8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420" w:firstLineChars="150"/>
        <w:jc w:val="both"/>
        <w:textAlignment w:val="auto"/>
        <w:rPr>
          <w:rFonts w:hint="default" w:ascii="Roboto" w:hAnsi="Roboto" w:eastAsia="Roboto" w:cs="Roboto"/>
          <w:i w:val="0"/>
          <w:iCs w:val="0"/>
          <w:caps w:val="0"/>
          <w:color w:val="333333"/>
          <w:spacing w:val="0"/>
          <w:sz w:val="19"/>
          <w:szCs w:val="19"/>
        </w:rPr>
      </w:pPr>
      <w:r>
        <w:rPr>
          <w:rFonts w:hint="default" w:ascii="Times New Roman" w:hAnsi="Times New Roman" w:eastAsia="Roboto" w:cs="Times New Roman"/>
          <w:i w:val="0"/>
          <w:iCs w:val="0"/>
          <w:caps w:val="0"/>
          <w:color w:val="333333"/>
          <w:spacing w:val="0"/>
          <w:sz w:val="28"/>
          <w:szCs w:val="28"/>
          <w:shd w:val="clear" w:fill="FFFFFF"/>
        </w:rPr>
        <w:t>В том случае, если репост признан рекламой, то необходимо соблюдать требования к маркировке рекламы, установленные законодательством, включая указание на рекламный характер информации и наличие соответствующей отметки.</w:t>
      </w:r>
    </w:p>
    <w:p w14:paraId="590F858C">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pPr>
    </w:p>
    <w:p w14:paraId="484901F8">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pPr>
    </w:p>
    <w:p w14:paraId="4394545D">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default" w:ascii="Times New Roman" w:hAnsi="Times New Roman" w:cs="Times New Roman"/>
          <w:color w:val="0000FF"/>
          <w:sz w:val="28"/>
          <w:szCs w:val="28"/>
        </w:rPr>
      </w:pPr>
    </w:p>
    <w:p w14:paraId="7A057AF4">
      <w:pPr>
        <w:jc w:val="both"/>
        <w:rPr>
          <w:rFonts w:hint="default" w:ascii="Times New Roman" w:hAnsi="Times New Roman" w:cs="Times New Roman"/>
          <w:color w:val="0000FF"/>
          <w:sz w:val="28"/>
          <w:szCs w:val="28"/>
        </w:rPr>
      </w:pPr>
      <w:r>
        <w:rPr>
          <w:rFonts w:hint="default" w:ascii="Times New Roman" w:hAnsi="Times New Roman" w:cs="Times New Roman"/>
          <w:color w:val="0000FF"/>
          <w:sz w:val="28"/>
          <w:szCs w:val="28"/>
        </w:rPr>
        <w:t>Федеральный закон от 29.09.2025 № 367-ФЗ «О внесении изменений в статью 25 Федерального закона «Об опеке и попечительстве» </w:t>
      </w:r>
    </w:p>
    <w:p w14:paraId="4A0FA3CD">
      <w:pPr>
        <w:jc w:val="both"/>
        <w:rPr>
          <w:rFonts w:hint="default" w:ascii="Times New Roman" w:hAnsi="Times New Roman" w:cs="Times New Roman"/>
          <w:sz w:val="28"/>
          <w:szCs w:val="28"/>
        </w:rPr>
      </w:pPr>
      <w:r>
        <w:rPr>
          <w:rFonts w:hint="default" w:ascii="Times New Roman" w:hAnsi="Times New Roman" w:cs="Times New Roman"/>
          <w:sz w:val="28"/>
          <w:szCs w:val="28"/>
        </w:rPr>
        <w:t>Для организаций, исполняющих обязанности опекунов и попечителей, перенесен срок предоставления отчета об использовании имущества подопечных и управлении им.</w:t>
      </w:r>
    </w:p>
    <w:p w14:paraId="4C955BEB">
      <w:pPr>
        <w:jc w:val="both"/>
        <w:rPr>
          <w:rFonts w:hint="default" w:ascii="Times New Roman" w:hAnsi="Times New Roman" w:cs="Times New Roman"/>
          <w:sz w:val="28"/>
          <w:szCs w:val="28"/>
        </w:rPr>
      </w:pPr>
      <w:r>
        <w:rPr>
          <w:rFonts w:hint="default" w:ascii="Times New Roman" w:hAnsi="Times New Roman" w:cs="Times New Roman"/>
          <w:sz w:val="28"/>
          <w:szCs w:val="28"/>
        </w:rPr>
        <w:t>Так, в случае возложения исполнения обязанностей опекуна или попечителя на образовательную организацию, медицинскую организацию, организацию, оказывающую социальные услуги, или иную организацию, в том числе для детей-сирот и детей, оставшихся без попечения родителей,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w:t>
      </w:r>
    </w:p>
    <w:p w14:paraId="12522ED3">
      <w:pPr>
        <w:jc w:val="both"/>
        <w:rPr>
          <w:rFonts w:hint="default" w:ascii="Times New Roman" w:hAnsi="Times New Roman" w:cs="Times New Roman"/>
          <w:sz w:val="28"/>
          <w:szCs w:val="28"/>
          <w:lang w:val="ru-RU"/>
        </w:rPr>
      </w:pPr>
      <w:r>
        <w:rPr>
          <w:rFonts w:hint="default" w:ascii="Times New Roman" w:hAnsi="Times New Roman" w:cs="Times New Roman"/>
          <w:sz w:val="28"/>
          <w:szCs w:val="28"/>
        </w:rPr>
        <w:t>Настоящий федеральный закон вступает в силу со дня его официального опубликования.</w:t>
      </w:r>
      <w:r>
        <w:rPr>
          <w:rFonts w:hint="default" w:ascii="Times New Roman" w:hAnsi="Times New Roman" w:cs="Times New Roman"/>
          <w:sz w:val="28"/>
          <w:szCs w:val="28"/>
          <w:lang w:val="ru-RU"/>
        </w:rPr>
        <w:t xml:space="preserve"> </w:t>
      </w:r>
    </w:p>
    <w:p w14:paraId="256984BC">
      <w:pPr>
        <w:pStyle w:val="8"/>
        <w:keepNext w:val="0"/>
        <w:keepLines w:val="0"/>
        <w:widowControl/>
        <w:suppressLineNumbers w:val="0"/>
        <w:shd w:val="clear" w:fill="FFFFFF"/>
        <w:spacing w:before="0" w:beforeAutospacing="0"/>
        <w:ind w:left="0" w:firstLine="0"/>
        <w:jc w:val="center"/>
        <w:rPr>
          <w:rFonts w:hint="default" w:ascii="Times New Roman" w:hAnsi="Times New Roman" w:eastAsia="Montserrat" w:cs="Times New Roman"/>
          <w:i w:val="0"/>
          <w:iCs w:val="0"/>
          <w:caps w:val="0"/>
          <w:color w:val="273350"/>
          <w:spacing w:val="0"/>
          <w:sz w:val="28"/>
          <w:szCs w:val="28"/>
        </w:rPr>
      </w:pPr>
      <w:r>
        <w:rPr>
          <w:rFonts w:hint="default" w:ascii="Times New Roman" w:hAnsi="Times New Roman" w:cs="Times New Roman"/>
          <w:sz w:val="28"/>
          <w:szCs w:val="28"/>
          <w:lang w:val="ru-RU"/>
        </w:rPr>
        <w:t xml:space="preserve"> </w:t>
      </w:r>
      <w:r>
        <w:rPr>
          <w:rStyle w:val="6"/>
          <w:rFonts w:hint="default" w:ascii="Times New Roman" w:hAnsi="Times New Roman" w:eastAsia="Montserrat" w:cs="Times New Roman"/>
          <w:i w:val="0"/>
          <w:iCs w:val="0"/>
          <w:caps w:val="0"/>
          <w:color w:val="273350"/>
          <w:spacing w:val="0"/>
          <w:sz w:val="28"/>
          <w:szCs w:val="28"/>
          <w:shd w:val="clear" w:fill="FFFFFF"/>
        </w:rPr>
        <w:t>С 1 августа 2025 года изменяется порядок открытия банковских счетов для несовершеннолетних</w:t>
      </w:r>
    </w:p>
    <w:p w14:paraId="264066B8">
      <w:pPr>
        <w:pStyle w:val="8"/>
        <w:keepNext w:val="0"/>
        <w:keepLines w:val="0"/>
        <w:widowControl/>
        <w:suppressLineNumbers w:val="0"/>
        <w:shd w:val="clear" w:fill="FFFFFF"/>
        <w:spacing w:before="0" w:beforeAutospacing="0"/>
        <w:ind w:left="0" w:firstLine="0"/>
        <w:jc w:val="both"/>
        <w:rPr>
          <w:rFonts w:hint="default" w:ascii="Times New Roman" w:hAnsi="Times New Roman" w:eastAsia="Montserrat" w:cs="Times New Roman"/>
          <w:i w:val="0"/>
          <w:iCs w:val="0"/>
          <w:caps w:val="0"/>
          <w:color w:val="273350"/>
          <w:spacing w:val="0"/>
          <w:sz w:val="28"/>
          <w:szCs w:val="28"/>
        </w:rPr>
      </w:pPr>
      <w:r>
        <w:rPr>
          <w:rFonts w:hint="default" w:ascii="Times New Roman" w:hAnsi="Times New Roman" w:eastAsia="Montserrat" w:cs="Times New Roman"/>
          <w:i w:val="0"/>
          <w:iCs w:val="0"/>
          <w:caps w:val="0"/>
          <w:color w:val="273350"/>
          <w:spacing w:val="0"/>
          <w:sz w:val="28"/>
          <w:szCs w:val="28"/>
          <w:shd w:val="clear" w:fill="FFFFFF"/>
        </w:rPr>
        <w:t>Федеральным законом от 24.06.2025 № 178-ФЗ внесены изменения в Гражданский кодекс Российской Федерации, согласно которым с 1 августа 2025 года несовершеннолетнему лицу в возрасте от 14 до 18 лет для открытия банковского счета потребуется согласие родителей или других законных представителей.</w:t>
      </w:r>
    </w:p>
    <w:p w14:paraId="0973E26F">
      <w:pPr>
        <w:pStyle w:val="8"/>
        <w:keepNext w:val="0"/>
        <w:keepLines w:val="0"/>
        <w:widowControl/>
        <w:suppressLineNumbers w:val="0"/>
        <w:shd w:val="clear" w:fill="FFFFFF"/>
        <w:spacing w:before="0" w:beforeAutospacing="0"/>
        <w:ind w:left="0" w:firstLine="0"/>
        <w:jc w:val="both"/>
        <w:rPr>
          <w:rFonts w:hint="default" w:ascii="Times New Roman" w:hAnsi="Times New Roman" w:eastAsia="Montserrat" w:cs="Times New Roman"/>
          <w:i w:val="0"/>
          <w:iCs w:val="0"/>
          <w:caps w:val="0"/>
          <w:color w:val="273350"/>
          <w:spacing w:val="0"/>
          <w:sz w:val="28"/>
          <w:szCs w:val="28"/>
        </w:rPr>
      </w:pPr>
      <w:r>
        <w:rPr>
          <w:rFonts w:hint="default" w:ascii="Times New Roman" w:hAnsi="Times New Roman" w:eastAsia="Montserrat" w:cs="Times New Roman"/>
          <w:i w:val="0"/>
          <w:iCs w:val="0"/>
          <w:caps w:val="0"/>
          <w:color w:val="273350"/>
          <w:spacing w:val="0"/>
          <w:sz w:val="28"/>
          <w:szCs w:val="28"/>
          <w:shd w:val="clear" w:fill="FFFFFF"/>
        </w:rPr>
        <w:t>Исключение составят случаи, когда несовершеннолетние лица приобрели дееспособность в полном объеме: вступил в брак (в предусмотренных законом случаях); работает по трудовому договору, в том числе по контракту; либо с согласия родителей, усыновителей или попечителя занимается предпринимательской деятельностью.</w:t>
      </w:r>
    </w:p>
    <w:p w14:paraId="14E509CC">
      <w:pPr>
        <w:pStyle w:val="8"/>
        <w:keepNext w:val="0"/>
        <w:keepLines w:val="0"/>
        <w:widowControl/>
        <w:suppressLineNumbers w:val="0"/>
        <w:shd w:val="clear" w:fill="FFFFFF"/>
        <w:spacing w:before="0" w:beforeAutospacing="0"/>
        <w:ind w:left="0" w:firstLine="0"/>
        <w:jc w:val="both"/>
        <w:rPr>
          <w:rFonts w:hint="default" w:ascii="Times New Roman" w:hAnsi="Times New Roman" w:eastAsia="Montserrat" w:cs="Times New Roman"/>
          <w:i w:val="0"/>
          <w:iCs w:val="0"/>
          <w:caps w:val="0"/>
          <w:color w:val="273350"/>
          <w:spacing w:val="0"/>
          <w:sz w:val="28"/>
          <w:szCs w:val="28"/>
        </w:rPr>
      </w:pPr>
      <w:r>
        <w:rPr>
          <w:rFonts w:hint="default" w:ascii="Times New Roman" w:hAnsi="Times New Roman" w:eastAsia="Montserrat" w:cs="Times New Roman"/>
          <w:i w:val="0"/>
          <w:iCs w:val="0"/>
          <w:caps w:val="0"/>
          <w:color w:val="273350"/>
          <w:spacing w:val="0"/>
          <w:sz w:val="28"/>
          <w:szCs w:val="28"/>
          <w:shd w:val="clear" w:fill="FFFFFF"/>
        </w:rPr>
        <w:t>Изменения направлены на защиту несовершеннолетних от вовлечения в противоправную деятельность и мошенничества.</w:t>
      </w:r>
    </w:p>
    <w:p w14:paraId="4576B930">
      <w:pPr>
        <w:pStyle w:val="2"/>
        <w:keepNext w:val="0"/>
        <w:keepLines w:val="0"/>
        <w:widowControl/>
        <w:suppressLineNumbers w:val="0"/>
        <w:shd w:val="clear" w:fill="FFFFFF"/>
        <w:spacing w:before="120" w:beforeAutospacing="0" w:after="120" w:afterAutospacing="0" w:line="12" w:lineRule="atLeast"/>
        <w:ind w:left="0" w:right="0" w:firstLine="0"/>
        <w:jc w:val="center"/>
        <w:rPr>
          <w:rFonts w:hint="default" w:ascii="Times New Roman" w:hAnsi="Times New Roman" w:eastAsia="Segoe UI" w:cs="Times New Roman"/>
          <w:i w:val="0"/>
          <w:iCs w:val="0"/>
          <w:caps w:val="0"/>
          <w:color w:val="555555"/>
          <w:spacing w:val="0"/>
          <w:sz w:val="28"/>
          <w:szCs w:val="28"/>
        </w:rPr>
      </w:pPr>
      <w:r>
        <w:rPr>
          <w:rFonts w:hint="default" w:ascii="Times New Roman" w:hAnsi="Times New Roman" w:eastAsia="Segoe UI" w:cs="Times New Roman"/>
          <w:i w:val="0"/>
          <w:iCs w:val="0"/>
          <w:caps w:val="0"/>
          <w:color w:val="555555"/>
          <w:spacing w:val="0"/>
          <w:sz w:val="28"/>
          <w:szCs w:val="28"/>
          <w:shd w:val="clear" w:fill="FFFFFF"/>
        </w:rPr>
        <w:t>С 1 октября 2025 вступ</w:t>
      </w:r>
      <w:r>
        <w:rPr>
          <w:rFonts w:hint="default" w:ascii="Times New Roman" w:hAnsi="Times New Roman" w:eastAsia="Segoe UI" w:cs="Times New Roman"/>
          <w:i w:val="0"/>
          <w:iCs w:val="0"/>
          <w:caps w:val="0"/>
          <w:color w:val="555555"/>
          <w:spacing w:val="0"/>
          <w:sz w:val="28"/>
          <w:szCs w:val="28"/>
          <w:shd w:val="clear" w:fill="FFFFFF"/>
          <w:lang w:val="ru-RU"/>
        </w:rPr>
        <w:t>или</w:t>
      </w:r>
      <w:r>
        <w:rPr>
          <w:rFonts w:hint="default" w:ascii="Times New Roman" w:hAnsi="Times New Roman" w:eastAsia="Segoe UI" w:cs="Times New Roman"/>
          <w:i w:val="0"/>
          <w:iCs w:val="0"/>
          <w:caps w:val="0"/>
          <w:color w:val="555555"/>
          <w:spacing w:val="0"/>
          <w:sz w:val="28"/>
          <w:szCs w:val="28"/>
          <w:shd w:val="clear" w:fill="FFFFFF"/>
        </w:rPr>
        <w:t xml:space="preserve"> в силу изменения, касающиеся порядка подтверждения факта назначения пенсии в электронной форме</w:t>
      </w:r>
    </w:p>
    <w:p w14:paraId="05EA133F">
      <w:pPr>
        <w:pStyle w:val="8"/>
        <w:keepNext w:val="0"/>
        <w:keepLines w:val="0"/>
        <w:widowControl/>
        <w:suppressLineNumbers w:val="0"/>
        <w:spacing w:before="0" w:beforeAutospacing="0" w:after="120" w:afterAutospacing="0"/>
        <w:ind w:left="0"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555555"/>
          <w:spacing w:val="0"/>
          <w:sz w:val="28"/>
          <w:szCs w:val="28"/>
          <w:shd w:val="clear" w:fill="FFFFFF"/>
        </w:rPr>
        <w:t>Приказом Минтруда России от 10.03.2025 № 98н «О внесении изменений в Правила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установлено, что факт назначения пенсии по желанию пенсионера может подтверждаться свидетельством пенсионера, оформленным на материальном носителе, или в электронной форме.</w:t>
      </w:r>
    </w:p>
    <w:p w14:paraId="394E2579">
      <w:pPr>
        <w:pStyle w:val="8"/>
        <w:keepNext w:val="0"/>
        <w:keepLines w:val="0"/>
        <w:widowControl/>
        <w:suppressLineNumbers w:val="0"/>
        <w:spacing w:before="0" w:beforeAutospacing="0" w:after="120" w:afterAutospacing="0"/>
        <w:ind w:left="0"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555555"/>
          <w:spacing w:val="0"/>
          <w:sz w:val="28"/>
          <w:szCs w:val="28"/>
          <w:shd w:val="clear" w:fill="FFFFFF"/>
        </w:rPr>
        <w:t>Свидетельство пенсионера на материальном носителе формируется на основании сведений из государственной информационной системы «Единая централизованная цифровая платформа в социальной сфере» и выдается территориальным органом Фонда пенсионного и социального страхования Российской Федерации.</w:t>
      </w:r>
    </w:p>
    <w:p w14:paraId="4AAD933D">
      <w:pPr>
        <w:pStyle w:val="8"/>
        <w:keepNext w:val="0"/>
        <w:keepLines w:val="0"/>
        <w:widowControl/>
        <w:suppressLineNumbers w:val="0"/>
        <w:spacing w:before="0" w:beforeAutospacing="0" w:after="120" w:afterAutospacing="0"/>
        <w:ind w:left="0"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555555"/>
          <w:spacing w:val="0"/>
          <w:sz w:val="28"/>
          <w:szCs w:val="28"/>
          <w:shd w:val="clear" w:fill="FFFFFF"/>
        </w:rPr>
        <w:t>Факт назначения пенсии подтверждается в электронной форме путем отображения в личном кабинете пользователя на Едином портале государственных и муниципальных услуг направленных в единую систему идентификации и аутентификации Фондом пенсионного и социального страхования Российской Федерации из государственной информационной системы «Единая централизованная цифровая платформа в социальной сфере» по запросу оператора единой системы идентификации и аутентификации сведений, на основании которых формируется двухмерный штриховой код (QR-код), используемый для подтверждения гражданином факта назначения пенсии.</w:t>
      </w:r>
    </w:p>
    <w:p w14:paraId="275C332F">
      <w:pPr>
        <w:pStyle w:val="8"/>
        <w:keepNext w:val="0"/>
        <w:keepLines w:val="0"/>
        <w:widowControl/>
        <w:suppressLineNumbers w:val="0"/>
        <w:spacing w:before="0" w:beforeAutospacing="0" w:after="120" w:afterAutospacing="0"/>
        <w:ind w:left="0" w:right="0"/>
        <w:rPr>
          <w:rFonts w:hint="default" w:ascii="Times New Roman" w:hAnsi="Times New Roman" w:cs="Times New Roman"/>
          <w:sz w:val="28"/>
          <w:szCs w:val="28"/>
        </w:rPr>
      </w:pPr>
      <w:r>
        <w:rPr>
          <w:rFonts w:hint="default" w:ascii="Times New Roman" w:hAnsi="Times New Roman" w:eastAsia="Segoe UI" w:cs="Times New Roman"/>
          <w:i w:val="0"/>
          <w:iCs w:val="0"/>
          <w:caps w:val="0"/>
          <w:color w:val="555555"/>
          <w:spacing w:val="0"/>
          <w:sz w:val="28"/>
          <w:szCs w:val="28"/>
          <w:shd w:val="clear" w:fill="FFFFFF"/>
        </w:rPr>
        <w:t>При этом гражданин сможет сформировать в личном кабинете пользователя на едином портале Госуслуг файл в формате PDF, содержащий: фамилию, имя, отчество (при наличии), страховой номер индивидуального лицевого счета, вид пенсии и срок, на который она установлена, двухмерный штриховой код (QR-код), в том числе для последующей печати и предъявления.</w:t>
      </w:r>
    </w:p>
    <w:p w14:paraId="7D9757B5">
      <w:pPr>
        <w:pStyle w:val="8"/>
        <w:keepNext w:val="0"/>
        <w:keepLines w:val="0"/>
        <w:widowControl/>
        <w:suppressLineNumbers w:val="0"/>
        <w:spacing w:before="0" w:beforeAutospacing="0" w:after="120" w:afterAutospacing="0"/>
        <w:ind w:left="0" w:right="0"/>
        <w:rPr>
          <w:rFonts w:hint="default" w:ascii="Times New Roman" w:hAnsi="Times New Roman" w:cs="Times New Roman"/>
          <w:sz w:val="28"/>
          <w:szCs w:val="28"/>
          <w:lang w:val="ru-RU"/>
        </w:rPr>
      </w:pPr>
      <w:r>
        <w:rPr>
          <w:rFonts w:hint="default" w:ascii="Times New Roman" w:hAnsi="Times New Roman" w:eastAsia="Segoe UI" w:cs="Times New Roman"/>
          <w:i w:val="0"/>
          <w:iCs w:val="0"/>
          <w:caps w:val="0"/>
          <w:color w:val="555555"/>
          <w:spacing w:val="0"/>
          <w:sz w:val="28"/>
          <w:szCs w:val="28"/>
          <w:shd w:val="clear" w:fill="FFFFFF"/>
        </w:rPr>
        <w:t> </w:t>
      </w:r>
      <w:r>
        <w:rPr>
          <w:rFonts w:hint="default" w:ascii="Times New Roman" w:hAnsi="Times New Roman" w:cs="Times New Roman"/>
          <w:sz w:val="28"/>
          <w:szCs w:val="28"/>
          <w:lang w:val="ru-RU"/>
        </w:rPr>
        <w:t xml:space="preserve"> </w:t>
      </w:r>
    </w:p>
    <w:p w14:paraId="1D625DF2">
      <w:pPr>
        <w:jc w:val="both"/>
        <w:rPr>
          <w:rFonts w:hint="default" w:ascii="Times New Roman" w:hAnsi="Times New Roman" w:cs="Times New Roman"/>
          <w:sz w:val="28"/>
          <w:szCs w:val="28"/>
          <w:lang w:val="en-US"/>
        </w:rPr>
      </w:pPr>
    </w:p>
    <w:p w14:paraId="7D306F8A">
      <w:pPr>
        <w:jc w:val="both"/>
        <w:rPr>
          <w:rFonts w:hint="default" w:ascii="Times New Roman" w:hAnsi="Times New Roman" w:cs="Times New Roman"/>
          <w:sz w:val="28"/>
          <w:szCs w:val="28"/>
          <w:lang w:val="en-US"/>
        </w:rPr>
      </w:pPr>
    </w:p>
    <w:p w14:paraId="32C60F22">
      <w:pPr>
        <w:jc w:val="both"/>
        <w:rPr>
          <w:rFonts w:hint="default" w:ascii="Times New Roman" w:hAnsi="Times New Roman" w:cs="Times New Roman"/>
          <w:sz w:val="28"/>
          <w:szCs w:val="28"/>
          <w:lang w:val="en-US"/>
        </w:rPr>
      </w:pPr>
    </w:p>
    <w:p w14:paraId="3BACBAA4">
      <w:pPr>
        <w:jc w:val="both"/>
        <w:rPr>
          <w:rFonts w:hint="default" w:ascii="Times New Roman" w:hAnsi="Times New Roman" w:cs="Times New Roman"/>
          <w:sz w:val="28"/>
          <w:szCs w:val="28"/>
          <w:lang w:val="en-US"/>
        </w:rPr>
      </w:pPr>
    </w:p>
    <w:p w14:paraId="08E32D6D">
      <w:pPr>
        <w:jc w:val="both"/>
        <w:rPr>
          <w:rFonts w:hint="default" w:ascii="Times New Roman" w:hAnsi="Times New Roman" w:cs="Times New Roman"/>
          <w:sz w:val="28"/>
          <w:szCs w:val="28"/>
          <w:lang w:val="en-US"/>
        </w:rPr>
      </w:pPr>
    </w:p>
    <w:p w14:paraId="16183ACD">
      <w:pPr>
        <w:jc w:val="both"/>
        <w:rPr>
          <w:rFonts w:hint="default" w:ascii="Times New Roman" w:hAnsi="Times New Roman" w:cs="Times New Roman"/>
          <w:sz w:val="28"/>
          <w:szCs w:val="28"/>
          <w:lang w:val="en-US"/>
        </w:rPr>
      </w:pPr>
    </w:p>
    <w:p w14:paraId="2A3A8A86">
      <w:pPr>
        <w:jc w:val="both"/>
        <w:rPr>
          <w:rFonts w:hint="default" w:ascii="Times New Roman" w:hAnsi="Times New Roman" w:cs="Times New Roman"/>
          <w:sz w:val="28"/>
          <w:szCs w:val="28"/>
          <w:lang w:val="en-US"/>
        </w:rPr>
      </w:pPr>
    </w:p>
    <w:p w14:paraId="6BC2BB98">
      <w:pPr>
        <w:jc w:val="both"/>
        <w:rPr>
          <w:rFonts w:hint="default" w:ascii="Times New Roman" w:hAnsi="Times New Roman" w:cs="Times New Roman"/>
          <w:sz w:val="28"/>
          <w:szCs w:val="28"/>
          <w:lang w:val="en-US"/>
        </w:rPr>
      </w:pPr>
    </w:p>
    <w:p w14:paraId="3A7833BB">
      <w:pPr>
        <w:jc w:val="both"/>
        <w:rPr>
          <w:rFonts w:hint="default" w:ascii="Times New Roman" w:hAnsi="Times New Roman" w:cs="Times New Roman"/>
          <w:sz w:val="28"/>
          <w:szCs w:val="28"/>
          <w:lang w:val="en-US"/>
        </w:rPr>
      </w:pPr>
    </w:p>
    <w:p w14:paraId="06913EA9">
      <w:pPr>
        <w:jc w:val="both"/>
        <w:rPr>
          <w:rFonts w:hint="default" w:ascii="Times New Roman" w:hAnsi="Times New Roman" w:cs="Times New Roman"/>
          <w:sz w:val="28"/>
          <w:szCs w:val="28"/>
          <w:lang w:val="en-US"/>
        </w:rPr>
      </w:pPr>
    </w:p>
    <w:p w14:paraId="77A87F4A">
      <w:pPr>
        <w:jc w:val="both"/>
        <w:rPr>
          <w:rFonts w:hint="default" w:ascii="Times New Roman" w:hAnsi="Times New Roman" w:cs="Times New Roman"/>
          <w:sz w:val="28"/>
          <w:szCs w:val="28"/>
          <w:lang w:val="en-US"/>
        </w:rPr>
      </w:pPr>
    </w:p>
    <w:p w14:paraId="57E0D19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С 1 сентября 2025 года вступили в силу отдельные положения Федерального закона от 1 апреля 2025 г №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 Документ призван нормативно закрепить методы противодействия кибермошенничеству. Новеллы, касающиеся непосредственно граждан, можно разделить на два условных блока: мероприятия в области финансовой безопасности и меры в сфере подвижной (мобильной) связи.</w:t>
      </w:r>
    </w:p>
    <w:p w14:paraId="5FA6B54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Законом предусмотрена дополнительная защита от получения наличных через банкоматы без добровольного согласия клиента. Теперь кредитная организация, выпустившая платежную карту, до выдачи наличных денежных средств с банковских счетов с использованием банкоматов обязана проверить наличие признаков совершения операции без добровольного согласия клиента. При наличии признаков выдачи наличных без добровольного согласия клиента с использованием банкоматов кредитная организация, предоставившая клиенту платежную карту, на 48 часов с момента направления запроса на выдачу наличных обязана ограничить их выдачу на сумму не более 50 тыс. руб. в сутки. При этом нужно незамедлительно уведомить клиента о причинах такого ограничения.</w:t>
      </w:r>
    </w:p>
    <w:p w14:paraId="5D99DF5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Указанная мера носит превентивный характер и направлена на минимизацию ущерба в случае, если мошенникам все же удалось получить долгосрочный доступ к средствам клиента.</w:t>
      </w:r>
    </w:p>
    <w:p w14:paraId="6B9978C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Что касается мер в области подвижной (мобильной) связи, то с 1 сентября заработают следующие основных нововведения.</w:t>
      </w:r>
    </w:p>
    <w:p w14:paraId="6F925EA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Массовые вызовы будут возможны, если от абонента получено согласие, выраженное посредством совершения им действий, однозначно идентифицирующих клиента и позволяющих достоверно установить его волеизъявление на получение таких вызовов. Доказывать, что такое согласие было получено, будут те, по чьей инициативе совершаются массовые вызовы, – оператор связи или заказчик таких вызовов, который заключил соответствующий договор с оператором. При этом абоненты смогут направить оператору связи отказ от получения массовых вызовов. В случае его получения оператор обязан прекратить массовые вызовы такому абоненту.</w:t>
      </w:r>
    </w:p>
    <w:p w14:paraId="4D47965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Массовые вызовы, совершаемые с нарушением новых требований, будут считаться незаконными. Исключение сделано только для вызовов по инициативе органов власти и подведомственных им организаций, а также иных органов или организаций, перечень которых определит кабмин.</w:t>
      </w:r>
    </w:p>
    <w:p w14:paraId="5669DF4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В свою очередь, запрет на заключение договоров об оказании услуг подвижной радиотелефонной связи разрешат устанавливать через единый портал государственных и муниципальных услуг, либо при личном обращении в МФЦ. Снять запрет на оформление сим-карт можно будет только при личном обращении в МФЦ.</w:t>
      </w:r>
    </w:p>
    <w:p w14:paraId="0D7F41B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36" w:lineRule="atLeast"/>
        <w:ind w:left="0" w:right="0" w:firstLine="0"/>
        <w:jc w:val="both"/>
        <w:textAlignment w:val="auto"/>
        <w:rPr>
          <w:rFonts w:hint="default" w:ascii="Times New Roman" w:hAnsi="Times New Roman" w:eastAsia="Segoe UI" w:cs="Times New Roman"/>
          <w:i w:val="0"/>
          <w:iCs w:val="0"/>
          <w:caps w:val="0"/>
          <w:spacing w:val="0"/>
          <w:sz w:val="28"/>
          <w:szCs w:val="28"/>
        </w:rPr>
      </w:pPr>
      <w:r>
        <w:rPr>
          <w:rFonts w:hint="default" w:ascii="Times New Roman" w:hAnsi="Times New Roman" w:eastAsia="Segoe UI" w:cs="Times New Roman"/>
          <w:i w:val="0"/>
          <w:iCs w:val="0"/>
          <w:caps w:val="0"/>
          <w:spacing w:val="0"/>
          <w:sz w:val="28"/>
          <w:szCs w:val="28"/>
          <w:shd w:val="clear" w:fill="FFFFFF"/>
        </w:rPr>
        <w:t>Наконец, с начала месяца вводятся ограничения на передачу своего абонентского номера иным лицам. Это касается как абонентов-граждан, так и корпоративных клиентов (организаций и ИП). За нарушение этого запрета последуют штрафы для граждан в сумме 30-50 тыс. руб., для ИП – 50-100 тыс. руб., для юридических лиц – 100-200 тыс. руб. Исключение сделано только для передачи сим-карты членам своей семьи или близким родственникам (супругам, родителям и детям, дедушкам, бабушкам и внукам, братьям и сестрам), а также для случаев, когда воспользоваться номером срочно необходимо представителям органов госвласти и местного самоуправления или экстренных оперативных служб при исполнении ими служебных обязанностей.</w:t>
      </w:r>
    </w:p>
    <w:p w14:paraId="2FBAA63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8"/>
          <w:szCs w:val="28"/>
          <w:lang w:val="en-US"/>
        </w:rPr>
      </w:pPr>
    </w:p>
    <w:p w14:paraId="696A94E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8"/>
          <w:szCs w:val="28"/>
          <w:lang w:val="en-US"/>
        </w:rPr>
      </w:pPr>
    </w:p>
    <w:p w14:paraId="30D767D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8"/>
          <w:szCs w:val="28"/>
          <w:lang w:val="en-US"/>
        </w:rPr>
      </w:pPr>
    </w:p>
    <w:p w14:paraId="2FCE1E11">
      <w:pPr>
        <w:jc w:val="both"/>
        <w:rPr>
          <w:rFonts w:hint="default" w:ascii="Times New Roman" w:hAnsi="Times New Roman" w:cs="Times New Roman"/>
          <w:sz w:val="28"/>
          <w:szCs w:val="28"/>
          <w:lang w:val="en-US"/>
        </w:rPr>
      </w:pPr>
    </w:p>
    <w:p w14:paraId="624F94DF">
      <w:pPr>
        <w:jc w:val="both"/>
        <w:rPr>
          <w:rFonts w:hint="default" w:ascii="Times New Roman" w:hAnsi="Times New Roman" w:cs="Times New Roman"/>
          <w:sz w:val="28"/>
          <w:szCs w:val="28"/>
          <w:lang w:val="en-US"/>
        </w:rPr>
      </w:pPr>
    </w:p>
    <w:p w14:paraId="054D78B9">
      <w:pPr>
        <w:jc w:val="both"/>
        <w:rPr>
          <w:rFonts w:hint="default" w:ascii="Times New Roman" w:hAnsi="Times New Roman" w:cs="Times New Roman"/>
          <w:sz w:val="28"/>
          <w:szCs w:val="28"/>
          <w:lang w:val="en-US"/>
        </w:rPr>
      </w:pPr>
    </w:p>
    <w:p w14:paraId="53073942">
      <w:pPr>
        <w:jc w:val="both"/>
        <w:rPr>
          <w:rFonts w:hint="default" w:ascii="Times New Roman" w:hAnsi="Times New Roman" w:cs="Times New Roman"/>
          <w:sz w:val="28"/>
          <w:szCs w:val="28"/>
          <w:lang w:val="en-US"/>
        </w:rPr>
      </w:pPr>
    </w:p>
    <w:p w14:paraId="7EBBC2A7">
      <w:pPr>
        <w:jc w:val="both"/>
        <w:rPr>
          <w:rFonts w:hint="default" w:ascii="Times New Roman" w:hAnsi="Times New Roman" w:cs="Times New Roman"/>
          <w:sz w:val="28"/>
          <w:szCs w:val="28"/>
          <w:lang w:val="en-US"/>
        </w:rPr>
      </w:pPr>
    </w:p>
    <w:p w14:paraId="2518E78C">
      <w:pPr>
        <w:jc w:val="both"/>
        <w:rPr>
          <w:rFonts w:hint="default" w:ascii="Times New Roman" w:hAnsi="Times New Roman" w:cs="Times New Roman"/>
          <w:sz w:val="28"/>
          <w:szCs w:val="28"/>
          <w:lang w:val="en-US"/>
        </w:rPr>
      </w:pPr>
    </w:p>
    <w:p w14:paraId="108A313F">
      <w:pPr>
        <w:jc w:val="both"/>
        <w:rPr>
          <w:rFonts w:hint="default" w:ascii="Times New Roman" w:hAnsi="Times New Roman" w:cs="Times New Roman"/>
          <w:sz w:val="28"/>
          <w:szCs w:val="28"/>
          <w:lang w:val="en-US"/>
        </w:rPr>
      </w:pPr>
    </w:p>
    <w:p w14:paraId="19003710">
      <w:pPr>
        <w:jc w:val="both"/>
        <w:rPr>
          <w:rFonts w:hint="default" w:ascii="Times New Roman" w:hAnsi="Times New Roman" w:cs="Times New Roman"/>
          <w:sz w:val="28"/>
          <w:szCs w:val="28"/>
          <w:lang w:val="en-US"/>
        </w:rPr>
      </w:pPr>
    </w:p>
    <w:p w14:paraId="31C38B12">
      <w:pPr>
        <w:jc w:val="both"/>
        <w:rPr>
          <w:rFonts w:hint="default" w:ascii="Times New Roman" w:hAnsi="Times New Roman" w:cs="Times New Roman"/>
          <w:sz w:val="28"/>
          <w:szCs w:val="28"/>
          <w:lang w:val="en-US"/>
        </w:rPr>
      </w:pPr>
    </w:p>
    <w:p w14:paraId="7E1A5238">
      <w:pPr>
        <w:jc w:val="both"/>
        <w:rPr>
          <w:rFonts w:hint="default" w:ascii="Times New Roman" w:hAnsi="Times New Roman" w:cs="Times New Roman"/>
          <w:sz w:val="28"/>
          <w:szCs w:val="28"/>
          <w:lang w:val="en-US"/>
        </w:rPr>
      </w:pPr>
    </w:p>
    <w:p w14:paraId="05032517">
      <w:pPr>
        <w:jc w:val="both"/>
        <w:rPr>
          <w:rFonts w:hint="default" w:ascii="Times New Roman" w:hAnsi="Times New Roman" w:cs="Times New Roman"/>
          <w:sz w:val="28"/>
          <w:szCs w:val="28"/>
          <w:lang w:val="en-US"/>
        </w:rPr>
      </w:pPr>
    </w:p>
    <w:p w14:paraId="231CAB33">
      <w:pPr>
        <w:jc w:val="both"/>
        <w:rPr>
          <w:rFonts w:hint="default" w:ascii="Times New Roman" w:hAnsi="Times New Roman" w:cs="Times New Roman"/>
          <w:sz w:val="28"/>
          <w:szCs w:val="28"/>
          <w:lang w:val="en-US"/>
        </w:rPr>
      </w:pPr>
    </w:p>
    <w:p w14:paraId="035139AC">
      <w:pPr>
        <w:jc w:val="both"/>
        <w:rPr>
          <w:rFonts w:hint="default" w:ascii="Times New Roman" w:hAnsi="Times New Roman" w:cs="Times New Roman"/>
          <w:sz w:val="28"/>
          <w:szCs w:val="28"/>
          <w:lang w:val="en-US"/>
        </w:rPr>
      </w:pPr>
    </w:p>
    <w:p w14:paraId="5F8C3C29">
      <w:pPr>
        <w:jc w:val="both"/>
        <w:rPr>
          <w:rFonts w:hint="default" w:ascii="Times New Roman" w:hAnsi="Times New Roman" w:cs="Times New Roman"/>
          <w:sz w:val="28"/>
          <w:szCs w:val="28"/>
          <w:lang w:val="en-US"/>
        </w:rPr>
      </w:pPr>
    </w:p>
    <w:p w14:paraId="303D7146">
      <w:pPr>
        <w:jc w:val="both"/>
        <w:rPr>
          <w:rFonts w:hint="default" w:ascii="Times New Roman" w:hAnsi="Times New Roman" w:cs="Times New Roman"/>
          <w:sz w:val="28"/>
          <w:szCs w:val="28"/>
          <w:lang w:val="en-US"/>
        </w:rPr>
      </w:pPr>
    </w:p>
    <w:p w14:paraId="77A2E440">
      <w:pPr>
        <w:jc w:val="both"/>
        <w:rPr>
          <w:rFonts w:hint="default" w:ascii="Times New Roman" w:hAnsi="Times New Roman" w:cs="Times New Roman"/>
          <w:sz w:val="28"/>
          <w:szCs w:val="28"/>
          <w:lang w:val="en-US"/>
        </w:rPr>
      </w:pPr>
    </w:p>
    <w:p w14:paraId="13E3297E">
      <w:pPr>
        <w:jc w:val="both"/>
        <w:rPr>
          <w:rFonts w:hint="default" w:ascii="Times New Roman" w:hAnsi="Times New Roman" w:cs="Times New Roman"/>
          <w:sz w:val="28"/>
          <w:szCs w:val="28"/>
          <w:lang w:val="en-US"/>
        </w:rPr>
      </w:pPr>
    </w:p>
    <w:p w14:paraId="1467E010">
      <w:pPr>
        <w:jc w:val="both"/>
        <w:rPr>
          <w:rFonts w:hint="default" w:ascii="Times New Roman" w:hAnsi="Times New Roman" w:cs="Times New Roman"/>
          <w:sz w:val="28"/>
          <w:szCs w:val="28"/>
          <w:lang w:val="en-US"/>
        </w:rPr>
      </w:pPr>
    </w:p>
    <w:p w14:paraId="75D3192A">
      <w:pPr>
        <w:jc w:val="both"/>
        <w:rPr>
          <w:rFonts w:hint="default" w:ascii="Times New Roman" w:hAnsi="Times New Roman" w:cs="Times New Roman"/>
          <w:sz w:val="28"/>
          <w:szCs w:val="28"/>
          <w:lang w:val="en-US"/>
        </w:rPr>
      </w:pPr>
    </w:p>
    <w:p w14:paraId="16AED0D6">
      <w:pPr>
        <w:jc w:val="both"/>
        <w:rPr>
          <w:rFonts w:hint="default" w:ascii="Times New Roman" w:hAnsi="Times New Roman" w:cs="Times New Roman"/>
          <w:sz w:val="28"/>
          <w:szCs w:val="28"/>
          <w:lang w:val="en-US"/>
        </w:rPr>
      </w:pPr>
    </w:p>
    <w:p w14:paraId="3201A6C3">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упрощен порядок оформления в общую собственность ипотечного жилого помещения, приобретенного с использованием материнского капитала.</w:t>
      </w:r>
    </w:p>
    <w:p w14:paraId="44A5B38C">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Принят Федеральный закон от 07.07.2025 № 195-ФЗ «О внесении изменений в статью 7 Федерального закона «О дополнительных мерах государственных поддержки семей, имеющих детей» и статью 7 Федерального закона «Об ипотеке (залоге недвижимости)».</w:t>
      </w:r>
    </w:p>
    <w:p w14:paraId="4E3C6629">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Согласно принятому закону теперь не потребуется получение согласия банка (залодержателя по ипотечному кредиту) для оформления членами семьи в общую собственность жилого помещения, приобретенного, а также построенного или реконструированного с использованием средств материнского капитала, до момента погашения регистрационной записи об ипотеке.</w:t>
      </w:r>
    </w:p>
    <w:p w14:paraId="0D488284">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Изменения вступили в законную силу с 7 июля 2025 года.</w:t>
      </w:r>
    </w:p>
    <w:p w14:paraId="7524E3FD">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112C9DFD">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Инвалидам, имеющим транспортные средства в соответствии с медицинскими показаниями, или их законным представителям будет компенсироваться 50% от страховой премии по договору ОСАГО.</w:t>
      </w:r>
    </w:p>
    <w:p w14:paraId="08A254E1">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Style w:val="5"/>
          <w:rFonts w:hint="default" w:ascii="Times New Roman" w:hAnsi="Times New Roman" w:eastAsia="sans-serif" w:cs="Times New Roman"/>
          <w:i w:val="0"/>
          <w:iCs w:val="0"/>
          <w:caps w:val="0"/>
          <w:color w:val="050624"/>
          <w:spacing w:val="0"/>
          <w:sz w:val="28"/>
          <w:szCs w:val="28"/>
          <w:shd w:val="clear" w:fill="FFFFFF"/>
        </w:rPr>
        <w:t>Административный регламент (утвержден Приказом Фонда пенсионного и социального страхования Российской Федерации от 11.04.2025 № 453 «Об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14:paraId="57BB858B">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Услуга предоставляется инвалидам (в том числе детям-инвалидам), имеющим транспортные средства в соответствии с медицинскими показаниями, или их законными представителям. Заявитель может воспользоваться услугой через своего уполномоченного представителя.</w:t>
      </w:r>
    </w:p>
    <w:p w14:paraId="6639DF4F">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Максимальный срок предоставления услуги составляет 5 рабочих дней со дня регистрации в территориальном органе СФР заявления и необходимых документов или информации, поданных заявителем в территориальный орган СФР, в том числе через единый портал госуслуг, либо в МФЦ.</w:t>
      </w:r>
    </w:p>
    <w:p w14:paraId="21259D51">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Взимание государственной пошлины или иной платы за предоставление услуги не предусмотрено.</w:t>
      </w:r>
    </w:p>
    <w:p w14:paraId="4F1C9E17">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Новый административный регламент, устанавливающий предоставления СФР указанной государственной услуги, вступил в силу с 8 июля 2025 года.</w:t>
      </w:r>
    </w:p>
    <w:p w14:paraId="4F100954">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39E153A8">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Увеличен штраф за несообщение гражданином в военкомат о переезде на новое место пребывания, не подтвержденное регистрацией</w:t>
      </w:r>
    </w:p>
    <w:p w14:paraId="47194CB8">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Согласно Федеральному закону 07.07.2025 № 202-ФЗ «О внесении изменений в статьи 3.5 и 21.5 Кодекса Российской Федерации об административных правонарушениях»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повлечет наложение штрафа в размере от 10 тысяч до 20 тысяч рублей.</w:t>
      </w:r>
    </w:p>
    <w:p w14:paraId="05F50104">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Федеральный закон вступает в силу со дня его официального опубликования.</w:t>
      </w:r>
    </w:p>
    <w:p w14:paraId="2F806EA0">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13110500">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Подписан закон об удостоверении командирами воинских частей доверенностей и завещаний граждан, пребывающих в добровольческих формированиях, предусмотренных Федеральным законом «Об обороне».</w:t>
      </w:r>
    </w:p>
    <w:p w14:paraId="49587588">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Командиры (начальники)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также смогут удостоверять подпись гражданина, пребывающего в добровольческом формировании, на заявлении об определении на случай его смерти опекуна или попечителя ребенку.</w:t>
      </w:r>
    </w:p>
    <w:p w14:paraId="41D63069">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Федеральный закон от 07.07.2025 N 204-ФЗ «О внесении изменений в отдельные законодательные акты Российской Федерации» вступает в силу со дня его официального опубликования.</w:t>
      </w:r>
    </w:p>
    <w:p w14:paraId="4989C49D">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0BDF7256">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С 1 марта 2027 года изменится порядок проведения внеочередного обязательного медицинского освидетельствования водителей транспортных средств.</w:t>
      </w:r>
    </w:p>
    <w:p w14:paraId="380C9D88">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Федеральным законом от 07.07.2025 N 200-ФЗ «О внесении изменений в Федеральный закон «О безопасности дорожного движения» и статью 10 Федерального закона «О персональных данных» скорректированы основания для направления водителя на внеочередное обязательное медицинское освидетельствование.</w:t>
      </w:r>
    </w:p>
    <w:p w14:paraId="609E0B3E">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По результатам обязательного медицинского освидетельствования или внеочередного обязательного медицинского освидетельствования медицинской организацией (за исключением медицинских организаций федеральных органов исполнительной власти, в которых федеральными законами предусмотрена военная служба или приравненная к ней служба) формируется медицинское заключение в форме электронного документа. Медицинское заключение размещается в федеральном реестре документов, содержащем сведения о результатах медицинских освидетельствований, который ведется в ЕГИСЗ.</w:t>
      </w:r>
    </w:p>
    <w:p w14:paraId="50773278">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Водителю транспортного средства, получившему уведомление о необходимости прохождения внеочередного обязательного медицинского освидетельствования, необходимо будет его пройти в течение трех месяцев. Неисполнение данной обязанности послужит основанием прекращения действия права на управление транспортными средствами.</w:t>
      </w:r>
    </w:p>
    <w:p w14:paraId="7FD56BC2">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Право на управление транспортными средствами, действие которого прекращено в том числе по указанному основанию, восстанавливается при наличии медицинского заключения, подтверждающего отсутствие медицинских противопоказаний к управлению транспортными средствами, с учетом медицинских ограничений к управлению транспортными средствами.</w:t>
      </w:r>
    </w:p>
    <w:p w14:paraId="30A22727">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25057C2E">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О внесении изменений в Правила предоставления молодым семьям социальных выплат на приобретение (строительство) жилья и их использования.</w:t>
      </w:r>
    </w:p>
    <w:p w14:paraId="2946F77E">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Постановлением Правительства РФ от 12.07.2025 № 1048 внесены изменения в Правила предоставления молодым семьям социальных выплат на приобретение (строительство) жилья и их использования.</w:t>
      </w:r>
    </w:p>
    <w:p w14:paraId="35556FBD">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Первоочередное право на получение социальной выплаты в рамках мероприятия по обеспечению жильем молодых семей закреплено также за неполными молодыми семьями, состоящими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14:paraId="69C8DC0D">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Кроме того, внесенными изменениями предусматривается, что высший исполнительный орган субъекта РФ вправе установить для участия молодых семей в мероприятии дополнительное требование о постоянном проживании на территории субъекта РФ в течение определенного периода времени.</w:t>
      </w:r>
    </w:p>
    <w:p w14:paraId="222EC258">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7E7816C4">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по вопросу перерасчета в случае, когда индивидуальный или общий (квартирный) прибор учета вышел из строя.</w:t>
      </w:r>
    </w:p>
    <w:p w14:paraId="7C188DBB">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Письмом Минстроя России от 03.07.2025 № 38712-ДН/04 установлено, что в соответствии с подпунктом «д» пункта 81(12)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(далее - Правила № 354), прибор учета считается вышедшим из строя в том числе в случае истечения межповерочного интервала поверки приборов учета.</w:t>
      </w:r>
    </w:p>
    <w:p w14:paraId="77DD260C">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Правилами № 354 не предусмотрен перерасчет для случая, когда индивидуальный или общий (квартирный) прибор учета вышел из строя, в том числе по причине истечения межповерочного интервала, а впоследствии такой прибор учета был признан исправным в период, когда согласно положениям Правил № 354 указанный прибор учета считался вышедшим из строя.</w:t>
      </w:r>
    </w:p>
    <w:p w14:paraId="419F6282">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Однако, согласно правовой позиции Верховного Суда РФ, изложенной в пункте 25 Обзора судебной практики № 3, утвержденного Президиумом Верховного Суда РФ от 21.11.2020, потребитель, пропустивший срок поверки, не лишен возможности представить доказательства, опровергающие пороки учета и необходимость исчисления объема полученного ресурса расчетным способом, поскольку последующее признание прибора учета соответствующим метрологическим требованиям подтверждает достоверность отображаемых им учетных данных за весь период после окончания срока проверки. Также из пункта 10 Обзора судебной практики, утвержденного Президиумом Верховного Суда Российской Федерации 22 декабря 2021 г., следует, что проведенная по истечении межповерочного интервала поверка прибора учета, в результате которой установлено соответствие этого прибора метрологическим требованиям, подтверждает достоверность отображаемых им учетных данных за весь период после истечения срока поверки.</w:t>
      </w:r>
    </w:p>
    <w:p w14:paraId="086FC668">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При этом порядок проведения перерасчета в указанном случае, а также допустимый период после истечения срока поверки, в течение которого прибор учета может признаваться исправным, а его показания подлежащими применению в расчетах, законом не установлен.</w:t>
      </w:r>
    </w:p>
    <w:p w14:paraId="2EC02550">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По мнению Минстроя России, в рассматриваемом случае определение размера перерасчета должно осуществляться либо по соглашению между исполнителем и потребителем коммунальных услуг, либо в судебном порядке, если стороны не достигли согласия.</w:t>
      </w:r>
    </w:p>
    <w:p w14:paraId="1C067704">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68F349E8">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Об изменении порядка оформления в общую собственность ипотечного жилого помещения, приобретенного с использованием маткапитала.</w:t>
      </w:r>
    </w:p>
    <w:p w14:paraId="27308243">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Согласно принятому Федеральному закону от 07.07.2025 № 195-ФЗ теперь не потребуется получение согласия банка (залогодержателя по ипотечному кредиту) для оформления членами семьи в общую собственность жилого помещения, приобретенного, а также построенного или реконструированного с использованием средств материнского капитала, до момента погашения регистрационной записи об ипотеке.</w:t>
      </w:r>
    </w:p>
    <w:p w14:paraId="2AB082FF">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На оформление лицом, получившим государственный сертификат на материнский (семейный) капитал, его супругом (супругой) в общую собственность такого лица и (или) его супруга (супруги) и детей жилого помещения, приобретенного (построенного, реконструированного) с использованием средств (части средств) материнского (семейного) капитала и являющегося предметом залога до момента погашения регистрационной записи об ипотеке, согласие залогодержателя не требуется.".</w:t>
      </w:r>
    </w:p>
    <w:p w14:paraId="2DB62EBF">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Кроме того, уточнены требования, касающиеся срока направления органами СФР уведомления о перечислении средств маткапитала по выбранному направлению.</w:t>
      </w:r>
    </w:p>
    <w:p w14:paraId="45610E8B">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Об изменении срока внесения платы за жилое помещение и коммунальные услуги.</w:t>
      </w:r>
    </w:p>
    <w:p w14:paraId="65BBE7C4">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В настоящее время предельный срок внесения платы согласно общему правилу - до 10 числа следующего месяца.</w:t>
      </w:r>
    </w:p>
    <w:p w14:paraId="355F72D9">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Федеральным законом от 24.06.2025 № 177-ФЗ с 1 марта 2026 года вводится единый срок внесения платы за жилое помещение и коммунальные услуги - ежемесячно до 15 числа месяца, следующего за истекшим. Установленные сроки внесения платы и направления платежных документов нельзя будет изменить договором управления многоквартирным домом либо решением общего собрания жильцов.</w:t>
      </w:r>
    </w:p>
    <w:p w14:paraId="69909ED9">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Кроме того, принятым законом внесены уточнения в виды информации, размещаемой в ГИС ЖКХ (в т.ч. включена информация об исполнительных производствах по взысканию задолженности по оплате жилых помещений и коммунальных услуг).</w:t>
      </w:r>
    </w:p>
    <w:p w14:paraId="19DE5ADE">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Федеральный закон вступает в силу с 1 марта 2026 года.</w:t>
      </w:r>
    </w:p>
    <w:p w14:paraId="4C50FA40">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 </w:t>
      </w:r>
    </w:p>
    <w:p w14:paraId="31D5878E">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Об изменении  порядка подготовки и введения в действие графиков перевода потребителей на альтернативные виды топлива.</w:t>
      </w:r>
    </w:p>
    <w:p w14:paraId="64F1CE55">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Приказом Минэнерго России от 11.04.2025 № 424 определено, что Графики перевода разрабатываются в субъекте РФ поставщиками природного газа, осуществляющими его поставки на территории такого субъекта РФ по трубопроводам организациям - потребителям газа, которые обязаны обеспечивать готовность резервных топливных хозяйств и оборудования к работе на резервном топливе, а также создавать запасы топлива для тепловых электростанций и источников тепловой энергии.</w:t>
      </w:r>
    </w:p>
    <w:p w14:paraId="7BE2EA95">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Признается утратившим силу Приказ Минэнерго России от 30 декабря 2011 г. № 652, которым регулируются аналогичные правоотношения. Настоящий приказ действует до 1 сентября 2031 г.</w:t>
      </w:r>
    </w:p>
    <w:p w14:paraId="586B59CF">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42256665">
      <w:pPr>
        <w:pStyle w:val="8"/>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050624"/>
          <w:spacing w:val="0"/>
          <w:sz w:val="28"/>
          <w:szCs w:val="28"/>
        </w:rPr>
      </w:pPr>
      <w:r>
        <w:rPr>
          <w:rStyle w:val="6"/>
          <w:rFonts w:hint="default" w:ascii="Times New Roman" w:hAnsi="Times New Roman" w:eastAsia="sans-serif" w:cs="Times New Roman"/>
          <w:i w:val="0"/>
          <w:iCs w:val="0"/>
          <w:caps w:val="0"/>
          <w:color w:val="050624"/>
          <w:spacing w:val="0"/>
          <w:sz w:val="28"/>
          <w:szCs w:val="28"/>
          <w:shd w:val="clear" w:fill="FFFFFF"/>
        </w:rPr>
        <w:t>Прокуратура разъясняет: Ответственность за управление транспортным средством в состоянии опьянения</w:t>
      </w:r>
    </w:p>
    <w:p w14:paraId="73279CB2">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За управление транспортным средством в состоянии опьянения водитель может быть привлечен к административной ответственности, предусматривающей лишение права управления транспортным средством на срок от 1,5 до 2 лет, а также взыскание штрафа в размере 30 тыс. руб. (ч. 1 ст. 12.8 КоАП РФ). Аналогичная ответственность предусмотрена и за передачу управления автомобилем лицу, находящемуся в состоянии опьянения (ч. 2 ст. 12.8 КоАП РФ), а также за отказ от освидетельствования на состояние опьянения (ч. 1 ст. 12.26 КоАП РФ).</w:t>
      </w:r>
    </w:p>
    <w:p w14:paraId="58A7B573">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За совершение данного преступления уголовным законом предусмотрена ответственность в виде штрафа в размере от 200 до 300 тысяч рублей, в виде обязательных работ на срок до 480 часов, в виде принудительных работ или лишения свободы на срок до 2-х лет. Дополнительным обязательным к назначению наказанием является лишение права заниматься определенной деятельностью (лишение права управления транспортными средствами) на срок до трех лет.</w:t>
      </w:r>
    </w:p>
    <w:p w14:paraId="14A89362">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Согласно примечанию к статье 264 УК РФ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законодательством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Российской Федерации.</w:t>
      </w:r>
    </w:p>
    <w:p w14:paraId="194C9113">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Сообщить о нетрезвых водителях на дороге может каждый участник дорожного движения. Для этого нужно позвонить на горячую линию 112 - назвать цвет, номер, марку машины и ее направление движения.</w:t>
      </w:r>
    </w:p>
    <w:p w14:paraId="72398C30">
      <w:pPr>
        <w:pStyle w:val="8"/>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050624"/>
          <w:spacing w:val="0"/>
          <w:sz w:val="28"/>
          <w:szCs w:val="28"/>
        </w:rPr>
      </w:pPr>
      <w:r>
        <w:rPr>
          <w:rFonts w:hint="default" w:ascii="Times New Roman" w:hAnsi="Times New Roman" w:eastAsia="sans-serif" w:cs="Times New Roman"/>
          <w:i w:val="0"/>
          <w:iCs w:val="0"/>
          <w:caps w:val="0"/>
          <w:color w:val="050624"/>
          <w:spacing w:val="0"/>
          <w:sz w:val="28"/>
          <w:szCs w:val="28"/>
          <w:shd w:val="clear" w:fill="FFFFFF"/>
        </w:rPr>
        <w:t> </w:t>
      </w:r>
    </w:p>
    <w:p w14:paraId="213AA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 w:lineRule="atLeast"/>
        <w:ind w:left="0" w:right="0"/>
        <w:jc w:val="both"/>
        <w:textAlignment w:val="baseline"/>
        <w:rPr>
          <w:rFonts w:hint="default" w:ascii="Times New Roman" w:hAnsi="Times New Roman" w:eastAsia="sans-serif" w:cs="Times New Roman"/>
          <w:color w:val="222222"/>
          <w:sz w:val="28"/>
          <w:szCs w:val="28"/>
        </w:rPr>
      </w:pPr>
      <w:bookmarkStart w:id="0" w:name="_GoBack"/>
      <w:r>
        <w:rPr>
          <w:rStyle w:val="6"/>
          <w:rFonts w:hint="default" w:ascii="Times New Roman" w:hAnsi="Times New Roman" w:eastAsia="sans-serif" w:cs="Times New Roman"/>
          <w:b/>
          <w:bCs/>
          <w:i w:val="0"/>
          <w:iCs w:val="0"/>
          <w:caps w:val="0"/>
          <w:color w:val="050624"/>
          <w:spacing w:val="0"/>
          <w:sz w:val="28"/>
          <w:szCs w:val="28"/>
          <w:shd w:val="clear" w:fill="FFFFFF"/>
          <w:lang w:val="ru-RU"/>
        </w:rPr>
        <w:t xml:space="preserve"> </w:t>
      </w:r>
      <w:r>
        <w:rPr>
          <w:rFonts w:hint="default" w:ascii="Times New Roman" w:hAnsi="Times New Roman" w:eastAsia="sans-serif" w:cs="Times New Roman"/>
          <w:color w:val="222222"/>
          <w:sz w:val="28"/>
          <w:szCs w:val="28"/>
          <w:bdr w:val="none" w:color="auto" w:sz="0" w:space="0"/>
          <w:vertAlign w:val="baseline"/>
        </w:rPr>
        <w:t>Прокуратура разъясняет: об изменениях в сфере трудового законодательства с 01.09.2025</w:t>
      </w:r>
    </w:p>
    <w:p w14:paraId="1D0B56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baseline"/>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bdr w:val="none" w:color="auto" w:sz="0" w:space="0"/>
          <w:shd w:val="clear" w:fill="FFFFFF"/>
          <w:vertAlign w:val="baseline"/>
        </w:rPr>
        <w:t>Согласно изменениям, внесенными в соответствии с Федеральным законом от 07.04.2025 № 63-ФЗ, неоплачиваемый отпуск сроком до 35 календарных дней в году может предоставляться для ухода за лицом, получившим ранение или заболевание, связанное с прохождением военной службы.</w:t>
      </w:r>
    </w:p>
    <w:p w14:paraId="1D6CD0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baseline"/>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bdr w:val="none" w:color="auto" w:sz="0" w:space="0"/>
          <w:shd w:val="clear" w:fill="FFFFFF"/>
          <w:vertAlign w:val="baseline"/>
        </w:rPr>
        <w:t>Так, отпуск предоставляется родителям, супругам и детям военнослужащих, добровольцев, сотрудников некоторых правоохранительных органов, получивших ранение, контузию или увечье, либо заболевание, связанное с прохождением военной службы (службы) или исполнением обязанностей по контракту, в целях осуществления ухода за ними в соответствии с медицинским заключением.</w:t>
      </w:r>
    </w:p>
    <w:p w14:paraId="0DBAD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baseline"/>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bdr w:val="none" w:color="auto" w:sz="0" w:space="0"/>
          <w:shd w:val="clear" w:fill="FFFFFF"/>
          <w:vertAlign w:val="baseline"/>
        </w:rPr>
        <w:t>Также уточнен перечень лиц, которые могут получить отпуск без сохранения заработной платы сроком до 14 дней в случае гибели военнослужащего (добровольца, сотрудника правоохранительных органов) или смерти после ранения (контузии, увечья, заболевания).</w:t>
      </w:r>
    </w:p>
    <w:p w14:paraId="4F08B5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baseline"/>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bdr w:val="none" w:color="auto" w:sz="0" w:space="0"/>
          <w:shd w:val="clear" w:fill="FFFFFF"/>
          <w:vertAlign w:val="baseline"/>
        </w:rPr>
        <w:t>Кроме того, изменения в трудовом законодательстве коснулись прав несовершеннолетних.</w:t>
      </w:r>
    </w:p>
    <w:p w14:paraId="14E0F0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baseline"/>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bdr w:val="none" w:color="auto" w:sz="0" w:space="0"/>
          <w:shd w:val="clear" w:fill="FFFFFF"/>
          <w:vertAlign w:val="baseline"/>
        </w:rPr>
        <w:t>Так, с 1 сентября 2025 года 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 включенных в реестр молодежных и детских объединений, пользующихся господдержкой.</w:t>
      </w:r>
    </w:p>
    <w:p w14:paraId="750C63B7">
      <w:pPr>
        <w:keepNext w:val="0"/>
        <w:keepLines w:val="0"/>
        <w:pageBreakBefore w:val="0"/>
        <w:widowControl/>
        <w:kinsoku/>
        <w:wordWrap/>
        <w:overflowPunct/>
        <w:topLinePunct w:val="0"/>
        <w:autoSpaceDE/>
        <w:autoSpaceDN/>
        <w:bidi w:val="0"/>
        <w:adjustRightInd/>
        <w:snapToGrid/>
        <w:spacing w:after="0"/>
        <w:jc w:val="both"/>
        <w:rPr>
          <w:rFonts w:hint="default" w:ascii="Times New Roman" w:hAnsi="Times New Roman" w:cs="Times New Roman"/>
          <w:sz w:val="28"/>
          <w:szCs w:val="28"/>
          <w:lang w:val="ru-RU"/>
        </w:rPr>
      </w:pPr>
    </w:p>
    <w:bookmarkEnd w:i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Tinos">
    <w:altName w:val="Times New Roman"/>
    <w:panose1 w:val="00000000000000000000"/>
    <w:charset w:val="00"/>
    <w:family w:val="roman"/>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Montserra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NSimSun">
    <w:panose1 w:val="02010609030101010101"/>
    <w:charset w:val="86"/>
    <w:family w:val="auto"/>
    <w:pitch w:val="default"/>
    <w:sig w:usb0="000002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Impact">
    <w:panose1 w:val="020B0806030902050204"/>
    <w:charset w:val="00"/>
    <w:family w:val="auto"/>
    <w:pitch w:val="default"/>
    <w:sig w:usb0="00000287" w:usb1="00000000" w:usb2="00000000" w:usb3="00000000" w:csb0="2000009F" w:csb1="DFD70000"/>
  </w:font>
  <w:font w:name="Bahnschrift SemiBold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BC"/>
    <w:rsid w:val="001A1CBC"/>
    <w:rsid w:val="0038536E"/>
    <w:rsid w:val="008C0AD6"/>
    <w:rsid w:val="00DF389D"/>
    <w:rsid w:val="4A4464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Balloon Text"/>
    <w:basedOn w:val="1"/>
    <w:link w:val="11"/>
    <w:semiHidden/>
    <w:unhideWhenUsed/>
    <w:uiPriority w:val="99"/>
    <w:pPr>
      <w:spacing w:after="0" w:line="240" w:lineRule="auto"/>
    </w:pPr>
    <w:rPr>
      <w:rFonts w:ascii="Segoe UI" w:hAnsi="Segoe UI" w:cs="Segoe UI"/>
      <w:sz w:val="18"/>
      <w:szCs w:val="18"/>
    </w:r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customStyle="1" w:styleId="9">
    <w:name w:val="ConsNonformat"/>
    <w:link w:val="10"/>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10">
    <w:name w:val="ConsNonformat Знак"/>
    <w:link w:val="9"/>
    <w:locked/>
    <w:uiPriority w:val="0"/>
    <w:rPr>
      <w:rFonts w:ascii="Courier New" w:hAnsi="Courier New" w:eastAsia="Times New Roman" w:cs="Courier New"/>
      <w:sz w:val="20"/>
      <w:szCs w:val="20"/>
      <w:lang w:eastAsia="ru-RU"/>
    </w:rPr>
  </w:style>
  <w:style w:type="character" w:customStyle="1" w:styleId="11">
    <w:name w:val="Текст выноски Знак"/>
    <w:basedOn w:val="3"/>
    <w:link w:val="7"/>
    <w:semiHidden/>
    <w:qFormat/>
    <w:uiPriority w:val="99"/>
    <w:rPr>
      <w:rFonts w:ascii="Segoe UI" w:hAnsi="Segoe UI" w:cs="Segoe UI"/>
      <w:sz w:val="18"/>
      <w:szCs w:val="18"/>
    </w:rPr>
  </w:style>
  <w:style w:type="character" w:customStyle="1" w:styleId="12">
    <w:name w:val="Font Style34"/>
    <w:uiPriority w:val="0"/>
    <w:rPr>
      <w:rFonts w:ascii="Times New Roman" w:hAnsi="Times New Roman" w:cs="Times New Roman"/>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197</Words>
  <Characters>1126</Characters>
  <Lines>9</Lines>
  <Paragraphs>2</Paragraphs>
  <TotalTime>26</TotalTime>
  <ScaleCrop>false</ScaleCrop>
  <LinksUpToDate>false</LinksUpToDate>
  <CharactersWithSpaces>1321</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2025-10-02T12:41:00Z</dcterms:created>
  <dc:creator>mvinogradova23</dc:creator>
  <cp:lastModifiedBy>tatya</cp:lastModifiedBy>
  <cp:lastPrinted>2025-10-02T12:41:00Z</cp:lastPrinted>
  <dcterms:modified xsi:type="dcterms:W3CDTF">2025-10-13T17:28:54Z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1049-12.2.0.22556</vt:lpwstr>
  </property>
  <property fmtid="{D5CDD505-2E9C-101B-9397-08002B2CF9AE}" pid="3" name="ICV">
    <vt:lpwstr>723756E16FBF4F51B6F8D591867CDD07_12</vt:lpwstr>
  </property>
</Properties>
</file>